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3460D" w:rsidRDefault="00DB4A40">
      <w:pPr>
        <w:jc w:val="both"/>
        <w:rPr>
          <w:rFonts w:ascii="Arial" w:eastAsia="Arial" w:hAnsi="Arial" w:cs="Arial"/>
          <w:b/>
          <w:bCs/>
        </w:rPr>
      </w:pPr>
      <w:r>
        <w:rPr>
          <w:rFonts w:ascii="Arial" w:eastAsia="Arial" w:hAnsi="Arial" w:cs="Arial"/>
          <w:b/>
          <w:bCs/>
        </w:rPr>
        <w:t>PROGRAMA DE APOYO A LA GESTIÓN INTEGRADA DEL GASTO PÚBLICO PROFIP III BID 4802/OC-AR</w:t>
      </w:r>
    </w:p>
    <w:p w14:paraId="00000002" w14:textId="77777777" w:rsidR="0013460D" w:rsidRDefault="00DB4A40">
      <w:pPr>
        <w:jc w:val="both"/>
        <w:rPr>
          <w:rFonts w:ascii="Arial" w:eastAsia="Arial" w:hAnsi="Arial" w:cs="Arial"/>
        </w:rPr>
      </w:pPr>
      <w:r>
        <w:rPr>
          <w:rFonts w:ascii="Arial" w:eastAsia="Arial" w:hAnsi="Arial" w:cs="Arial"/>
          <w:b/>
          <w:bCs/>
        </w:rPr>
        <w:t>SECRETARÍA DE HACIENDA - MINISTERIO DE ECONOMÍA DE LA NACIÓN</w:t>
      </w:r>
      <w:r>
        <w:rPr>
          <w:rFonts w:ascii="Arial" w:eastAsia="Arial" w:hAnsi="Arial" w:cs="Arial"/>
        </w:rPr>
        <w:t> </w:t>
      </w:r>
    </w:p>
    <w:p w14:paraId="00000003" w14:textId="2604F09E" w:rsidR="0013460D" w:rsidRDefault="00DB4A40">
      <w:pPr>
        <w:jc w:val="both"/>
        <w:rPr>
          <w:rFonts w:ascii="Arial" w:eastAsia="Arial" w:hAnsi="Arial" w:cs="Arial"/>
        </w:rPr>
      </w:pPr>
      <w:r w:rsidRPr="4F970CBB">
        <w:rPr>
          <w:rFonts w:ascii="Arial" w:eastAsia="Arial" w:hAnsi="Arial" w:cs="Arial"/>
          <w:b/>
          <w:bCs/>
        </w:rPr>
        <w:t xml:space="preserve">Selección Basada en la </w:t>
      </w:r>
      <w:r w:rsidR="003B5BFC" w:rsidRPr="4F970CBB">
        <w:rPr>
          <w:rFonts w:ascii="Arial" w:eastAsia="Arial" w:hAnsi="Arial" w:cs="Arial"/>
          <w:b/>
          <w:bCs/>
        </w:rPr>
        <w:t xml:space="preserve">Calidad y el Costo SBCC </w:t>
      </w:r>
      <w:r w:rsidR="003B5BFC" w:rsidRPr="4F970CBB">
        <w:rPr>
          <w:rFonts w:ascii="Arial" w:hAnsi="Arial" w:cs="Arial"/>
          <w:b/>
          <w:bCs/>
        </w:rPr>
        <w:t xml:space="preserve">PROFIP </w:t>
      </w:r>
      <w:r w:rsidR="00CA1125" w:rsidRPr="4F970CBB">
        <w:rPr>
          <w:rFonts w:ascii="Arial" w:hAnsi="Arial" w:cs="Arial"/>
          <w:b/>
          <w:bCs/>
        </w:rPr>
        <w:t>AR-L1292-P0000</w:t>
      </w:r>
      <w:r w:rsidR="00245A25" w:rsidRPr="4F970CBB">
        <w:rPr>
          <w:rFonts w:ascii="Arial" w:hAnsi="Arial" w:cs="Arial"/>
          <w:b/>
          <w:bCs/>
        </w:rPr>
        <w:t>1</w:t>
      </w:r>
    </w:p>
    <w:p w14:paraId="00000004" w14:textId="77777777" w:rsidR="0013460D" w:rsidRDefault="00DB4A40">
      <w:pPr>
        <w:jc w:val="both"/>
        <w:rPr>
          <w:rFonts w:ascii="Arial" w:eastAsia="Arial" w:hAnsi="Arial" w:cs="Arial"/>
        </w:rPr>
      </w:pPr>
      <w:r w:rsidRPr="4F970CBB">
        <w:rPr>
          <w:rFonts w:ascii="Arial" w:eastAsia="Arial" w:hAnsi="Arial" w:cs="Arial"/>
        </w:rPr>
        <w:t> </w:t>
      </w:r>
    </w:p>
    <w:p w14:paraId="7440E1B4" w14:textId="735374FF" w:rsidR="005316C5" w:rsidRPr="006E44F9" w:rsidRDefault="00DB4A40" w:rsidP="00007E3C">
      <w:pPr>
        <w:spacing w:line="276" w:lineRule="auto"/>
        <w:jc w:val="both"/>
        <w:rPr>
          <w:rFonts w:ascii="Arial" w:hAnsi="Arial" w:cs="Arial"/>
        </w:rPr>
      </w:pPr>
      <w:r w:rsidRPr="4F970CBB">
        <w:rPr>
          <w:rFonts w:ascii="Arial" w:eastAsia="Arial" w:hAnsi="Arial" w:cs="Arial"/>
        </w:rPr>
        <w:t xml:space="preserve">La Nación Argentina ha recibido un préstamo del Banco Interamericano de Desarrollo para financiar el </w:t>
      </w:r>
      <w:r w:rsidRPr="4F970CBB">
        <w:rPr>
          <w:rFonts w:ascii="Arial" w:eastAsia="Arial" w:hAnsi="Arial" w:cs="Arial"/>
          <w:b/>
          <w:bCs/>
          <w:i/>
          <w:iCs/>
        </w:rPr>
        <w:t>Programa de Apoyo a la Gestión Integrada del Gasto Público PROFIP III  BID 4802/OC-AR (AR-L1292)</w:t>
      </w:r>
      <w:r w:rsidRPr="4F970CBB">
        <w:rPr>
          <w:rFonts w:ascii="Arial" w:eastAsia="Arial" w:hAnsi="Arial" w:cs="Arial"/>
          <w:b/>
          <w:bCs/>
        </w:rPr>
        <w:t>,</w:t>
      </w:r>
      <w:r w:rsidRPr="4F970CBB">
        <w:rPr>
          <w:rFonts w:ascii="Arial" w:eastAsia="Arial" w:hAnsi="Arial" w:cs="Arial"/>
        </w:rPr>
        <w:t xml:space="preserve"> y se propone utilizar parte de esos fondos para financiar el costo del contrato correspondiente a </w:t>
      </w:r>
      <w:r w:rsidR="00807E6B" w:rsidRPr="4F970CBB">
        <w:rPr>
          <w:rFonts w:ascii="Arial" w:eastAsia="Arial" w:hAnsi="Arial" w:cs="Arial"/>
        </w:rPr>
        <w:t>un</w:t>
      </w:r>
      <w:r w:rsidRPr="4F970CBB">
        <w:rPr>
          <w:rFonts w:ascii="Arial" w:eastAsia="Arial" w:hAnsi="Arial" w:cs="Arial"/>
        </w:rPr>
        <w:t xml:space="preserve"> </w:t>
      </w:r>
      <w:r w:rsidR="00807E6B" w:rsidRPr="4F970CBB">
        <w:rPr>
          <w:rFonts w:ascii="Arial" w:eastAsia="Arial" w:hAnsi="Arial" w:cs="Arial"/>
        </w:rPr>
        <w:t xml:space="preserve">servicio de </w:t>
      </w:r>
      <w:r w:rsidR="003B5BFC" w:rsidRPr="4F970CBB">
        <w:rPr>
          <w:rFonts w:ascii="Arial" w:eastAsia="Arial" w:hAnsi="Arial" w:cs="Arial"/>
          <w:b/>
          <w:bCs/>
          <w:i/>
          <w:iCs/>
        </w:rPr>
        <w:t>“</w:t>
      </w:r>
      <w:bookmarkStart w:id="0" w:name="_Hlk220333871"/>
      <w:r w:rsidR="00807E6B" w:rsidRPr="4F970CBB">
        <w:rPr>
          <w:rFonts w:ascii="Arial" w:eastAsia="Arial" w:hAnsi="Arial" w:cs="Arial"/>
          <w:b/>
          <w:bCs/>
          <w:i/>
          <w:iCs/>
        </w:rPr>
        <w:t>Desarrollo de capacidades para análisis y procesamiento de información gerencial de la administración financiera de la provincia de Río Negro</w:t>
      </w:r>
      <w:bookmarkEnd w:id="0"/>
      <w:r w:rsidR="003B5BFC" w:rsidRPr="4F970CBB">
        <w:rPr>
          <w:rFonts w:ascii="Arial" w:eastAsia="Arial" w:hAnsi="Arial" w:cs="Arial"/>
          <w:b/>
          <w:bCs/>
          <w:i/>
          <w:iCs/>
        </w:rPr>
        <w:t xml:space="preserve">” PROFIP </w:t>
      </w:r>
      <w:r w:rsidR="003122F3" w:rsidRPr="4F970CBB">
        <w:rPr>
          <w:rFonts w:ascii="Arial" w:eastAsia="Arial" w:hAnsi="Arial" w:cs="Arial"/>
          <w:b/>
          <w:bCs/>
          <w:i/>
          <w:iCs/>
        </w:rPr>
        <w:t>AR-L1292-P0000</w:t>
      </w:r>
      <w:r w:rsidR="00807E6B" w:rsidRPr="4F970CBB">
        <w:rPr>
          <w:rFonts w:ascii="Arial" w:eastAsia="Arial" w:hAnsi="Arial" w:cs="Arial"/>
          <w:b/>
          <w:bCs/>
          <w:i/>
          <w:iCs/>
        </w:rPr>
        <w:t>1</w:t>
      </w:r>
      <w:r w:rsidR="003122F3" w:rsidRPr="4F970CBB">
        <w:rPr>
          <w:rFonts w:ascii="Arial" w:eastAsia="Arial" w:hAnsi="Arial" w:cs="Arial"/>
          <w:b/>
          <w:bCs/>
          <w:i/>
          <w:iCs/>
        </w:rPr>
        <w:t xml:space="preserve"> </w:t>
      </w:r>
      <w:r w:rsidR="003B5BFC" w:rsidRPr="4F970CBB">
        <w:rPr>
          <w:rFonts w:ascii="Arial" w:eastAsia="Arial" w:hAnsi="Arial" w:cs="Arial"/>
        </w:rPr>
        <w:t>que tiene por  objetivo general el desarrollo</w:t>
      </w:r>
      <w:r w:rsidR="00807E6B" w:rsidRPr="4F970CBB">
        <w:rPr>
          <w:rFonts w:ascii="Arial" w:eastAsia="Arial" w:hAnsi="Arial" w:cs="Arial"/>
        </w:rPr>
        <w:t xml:space="preserve"> de</w:t>
      </w:r>
      <w:r w:rsidR="003B5BFC" w:rsidRPr="4F970CBB">
        <w:rPr>
          <w:rFonts w:ascii="Arial" w:eastAsia="Arial" w:hAnsi="Arial" w:cs="Arial"/>
        </w:rPr>
        <w:t xml:space="preserve"> </w:t>
      </w:r>
      <w:r w:rsidR="00807E6B" w:rsidRPr="4F970CBB">
        <w:rPr>
          <w:rFonts w:ascii="Arial" w:eastAsia="Arial" w:hAnsi="Arial" w:cs="Arial"/>
        </w:rPr>
        <w:t>las funcionalidades gerenciales del ecosistema SAFyC, de modo que permita al Ministerio de Hacienda avanzar en el desarrollo de una plataforma única, con capacidad de análisis y procesamiento de información, que incluya mejoras en los cubos de datos vigentes, el desarrollo de nuevos cubos y modelos de reportes y tableros, así como la incorporación de nuevas funcionalidades y herramientas para el análisis de escenarios.</w:t>
      </w:r>
      <w:r w:rsidR="003B5BFC" w:rsidRPr="4F970CBB">
        <w:rPr>
          <w:rFonts w:ascii="Arial" w:eastAsia="Arial" w:hAnsi="Arial" w:cs="Arial"/>
        </w:rPr>
        <w:t xml:space="preserve"> </w:t>
      </w:r>
      <w:r w:rsidR="00353112" w:rsidRPr="4F970CBB">
        <w:rPr>
          <w:rFonts w:ascii="Arial" w:eastAsia="Arial" w:hAnsi="Arial" w:cs="Arial"/>
        </w:rPr>
        <w:t xml:space="preserve">La Secretaría de Hacienda del Ministerio de Economía como órgano ejecutor del </w:t>
      </w:r>
      <w:r w:rsidR="00353112" w:rsidRPr="4F970CBB">
        <w:rPr>
          <w:rFonts w:ascii="Arial" w:eastAsia="Arial" w:hAnsi="Arial" w:cs="Arial"/>
          <w:b/>
          <w:bCs/>
          <w:i/>
          <w:iCs/>
        </w:rPr>
        <w:t>Programa de Apoyo a la Gestión Integrada del Gasto Público PROFIP III  </w:t>
      </w:r>
      <w:r w:rsidR="00353112" w:rsidRPr="4F970CBB">
        <w:rPr>
          <w:rFonts w:ascii="Arial" w:eastAsia="Arial" w:hAnsi="Arial" w:cs="Arial"/>
        </w:rPr>
        <w:t xml:space="preserve"> </w:t>
      </w:r>
      <w:r w:rsidR="003B5BFC" w:rsidRPr="4F970CBB">
        <w:rPr>
          <w:rFonts w:ascii="Arial" w:eastAsia="Arial" w:hAnsi="Arial" w:cs="Arial"/>
        </w:rPr>
        <w:t xml:space="preserve">invita a firmas consultoras </w:t>
      </w:r>
      <w:r w:rsidR="006E44F9" w:rsidRPr="4F970CBB">
        <w:rPr>
          <w:rFonts w:ascii="Arial" w:eastAsia="Arial" w:hAnsi="Arial" w:cs="Arial"/>
        </w:rPr>
        <w:t xml:space="preserve">elegibles </w:t>
      </w:r>
      <w:r w:rsidR="003B5BFC" w:rsidRPr="4F970CBB">
        <w:rPr>
          <w:rFonts w:ascii="Arial" w:eastAsia="Arial" w:hAnsi="Arial" w:cs="Arial"/>
        </w:rPr>
        <w:t xml:space="preserve">a expresar su interés en prestar </w:t>
      </w:r>
      <w:r w:rsidR="006E44F9" w:rsidRPr="4F970CBB">
        <w:rPr>
          <w:rFonts w:ascii="Arial" w:eastAsia="Arial" w:hAnsi="Arial" w:cs="Arial"/>
        </w:rPr>
        <w:t xml:space="preserve">los </w:t>
      </w:r>
      <w:r w:rsidR="003B5BFC" w:rsidRPr="4F970CBB">
        <w:rPr>
          <w:rFonts w:ascii="Arial" w:eastAsia="Arial" w:hAnsi="Arial" w:cs="Arial"/>
        </w:rPr>
        <w:t xml:space="preserve">servicios de consultoría mencionados, las cuales serán elegidas en base al método de Selección Basada en Calidad y Costo (SBCC) de acuerdo con los procedimientos del Banco Interamericano de Desarrollo (BID) detallados en las Políticas para la Selección y Contratación de Consultores Financiadas por el Banco Interamericano de Desarrollo GN-2350-15 – mayo de 2019. Los interesados deberán proporcionar información que indique que se encuentran legalmente constituidos, que son elegibles </w:t>
      </w:r>
      <w:proofErr w:type="gramStart"/>
      <w:r w:rsidR="003B5BFC" w:rsidRPr="4F970CBB">
        <w:rPr>
          <w:rFonts w:ascii="Arial" w:eastAsia="Arial" w:hAnsi="Arial" w:cs="Arial"/>
        </w:rPr>
        <w:t>de acuerdo a</w:t>
      </w:r>
      <w:proofErr w:type="gramEnd"/>
      <w:r w:rsidR="003B5BFC" w:rsidRPr="4F970CBB">
        <w:rPr>
          <w:rFonts w:ascii="Arial" w:eastAsia="Arial" w:hAnsi="Arial" w:cs="Arial"/>
        </w:rPr>
        <w:t xml:space="preserve"> las Políticas del BID y están calificados para suministrar dichos servicios; para ello se solicita presenten la siguiente documentación: 1. Una (1) manifestación escrita y firmada de su interés en participar. 2. Acreditación de personería del firmante de la nota de manifestación o interés de participar. 3. Documentación legal de la sociedad: copia de estatuto</w:t>
      </w:r>
      <w:r w:rsidR="003136DA" w:rsidRPr="4F970CBB">
        <w:rPr>
          <w:rFonts w:ascii="Arial" w:eastAsia="Arial" w:hAnsi="Arial" w:cs="Arial"/>
        </w:rPr>
        <w:t xml:space="preserve"> </w:t>
      </w:r>
      <w:r w:rsidR="003B5BFC" w:rsidRPr="4F970CBB">
        <w:rPr>
          <w:rFonts w:ascii="Arial" w:eastAsia="Arial" w:hAnsi="Arial" w:cs="Arial"/>
        </w:rPr>
        <w:t>o contrato social</w:t>
      </w:r>
      <w:r w:rsidR="006E44F9" w:rsidRPr="4F970CBB">
        <w:rPr>
          <w:rFonts w:ascii="Arial" w:eastAsia="Arial" w:hAnsi="Arial" w:cs="Arial"/>
        </w:rPr>
        <w:t xml:space="preserve">, </w:t>
      </w:r>
      <w:r w:rsidR="00353112" w:rsidRPr="4F970CBB">
        <w:rPr>
          <w:rFonts w:ascii="Arial" w:eastAsia="Arial" w:hAnsi="Arial" w:cs="Arial"/>
        </w:rPr>
        <w:t>constancia de inscripción en ARCA</w:t>
      </w:r>
      <w:r w:rsidR="003B5BFC" w:rsidRPr="4F970CBB">
        <w:rPr>
          <w:rFonts w:ascii="Arial" w:eastAsia="Arial" w:hAnsi="Arial" w:cs="Arial"/>
        </w:rPr>
        <w:t xml:space="preserve"> 4. </w:t>
      </w:r>
      <w:r w:rsidR="00E22CC2" w:rsidRPr="4F970CBB">
        <w:rPr>
          <w:rFonts w:ascii="Arial" w:eastAsia="Arial" w:hAnsi="Arial" w:cs="Arial"/>
        </w:rPr>
        <w:t>En el caso que el oferente sea una Unión Transitoria de Empresa (UT) o APCA, cada una de las empresas integrantes deberá cumplir con los requisitos formales requeridos en la presente gestión</w:t>
      </w:r>
      <w:r w:rsidR="003B5BFC" w:rsidRPr="4F970CBB">
        <w:rPr>
          <w:rFonts w:ascii="Arial" w:eastAsia="Arial" w:hAnsi="Arial" w:cs="Arial"/>
        </w:rPr>
        <w:t>, detallando los</w:t>
      </w:r>
      <w:r w:rsidR="003136DA" w:rsidRPr="4F970CBB">
        <w:rPr>
          <w:rFonts w:ascii="Arial" w:eastAsia="Arial" w:hAnsi="Arial" w:cs="Arial"/>
        </w:rPr>
        <w:t xml:space="preserve"> </w:t>
      </w:r>
      <w:r w:rsidR="003B5BFC" w:rsidRPr="4F970CBB">
        <w:rPr>
          <w:rFonts w:ascii="Arial" w:eastAsia="Arial" w:hAnsi="Arial" w:cs="Arial"/>
        </w:rPr>
        <w:t>roles de cada firma: líder o socio (de corresponder) 5. Copia del registro de la última sesión del Libro de</w:t>
      </w:r>
      <w:r w:rsidR="003136DA" w:rsidRPr="4F970CBB">
        <w:rPr>
          <w:rFonts w:ascii="Arial" w:eastAsia="Arial" w:hAnsi="Arial" w:cs="Arial"/>
        </w:rPr>
        <w:t xml:space="preserve"> </w:t>
      </w:r>
      <w:r w:rsidR="003B5BFC" w:rsidRPr="4F970CBB">
        <w:rPr>
          <w:rFonts w:ascii="Arial" w:eastAsia="Arial" w:hAnsi="Arial" w:cs="Arial"/>
        </w:rPr>
        <w:t xml:space="preserve">accionistas, si correspondiera, y del acta de designación de </w:t>
      </w:r>
      <w:r w:rsidR="00E22CC2" w:rsidRPr="4F970CBB">
        <w:rPr>
          <w:rFonts w:ascii="Arial" w:eastAsia="Arial" w:hAnsi="Arial" w:cs="Arial"/>
        </w:rPr>
        <w:t>directores</w:t>
      </w:r>
      <w:r w:rsidR="003B5BFC" w:rsidRPr="4F970CBB">
        <w:rPr>
          <w:rFonts w:ascii="Arial" w:eastAsia="Arial" w:hAnsi="Arial" w:cs="Arial"/>
        </w:rPr>
        <w:t xml:space="preserve"> 6. Últimos dos (2) balances o</w:t>
      </w:r>
      <w:r w:rsidR="003136DA" w:rsidRPr="4F970CBB">
        <w:rPr>
          <w:rFonts w:ascii="Arial" w:eastAsia="Arial" w:hAnsi="Arial" w:cs="Arial"/>
        </w:rPr>
        <w:t xml:space="preserve"> </w:t>
      </w:r>
      <w:r w:rsidR="003B5BFC" w:rsidRPr="4F970CBB">
        <w:rPr>
          <w:rFonts w:ascii="Arial" w:eastAsia="Arial" w:hAnsi="Arial" w:cs="Arial"/>
        </w:rPr>
        <w:t>estados de situación financiera. 7.</w:t>
      </w:r>
      <w:r w:rsidR="003136DA" w:rsidRPr="4F970CBB">
        <w:rPr>
          <w:rFonts w:ascii="Arial" w:eastAsia="Arial" w:hAnsi="Arial" w:cs="Arial"/>
        </w:rPr>
        <w:t xml:space="preserve"> </w:t>
      </w:r>
      <w:r w:rsidR="00E22CC2" w:rsidRPr="4F970CBB">
        <w:rPr>
          <w:rFonts w:ascii="Arial" w:eastAsia="Times New Roman" w:hAnsi="Arial" w:cs="Arial"/>
          <w:color w:val="000000" w:themeColor="text1"/>
        </w:rPr>
        <w:t>L</w:t>
      </w:r>
      <w:r w:rsidR="003136DA" w:rsidRPr="4F970CBB">
        <w:rPr>
          <w:rFonts w:ascii="Arial" w:eastAsia="Times New Roman" w:hAnsi="Arial" w:cs="Arial"/>
          <w:color w:val="000000" w:themeColor="text1"/>
        </w:rPr>
        <w:t xml:space="preserve">a firma consultora deberá poseer antecedentes relativos a los siguientes ítems como parte de servicios efectivamente prestados en cada proyecto aportando como antecedente: </w:t>
      </w:r>
      <w:r w:rsidR="004E1D9E" w:rsidRPr="4F970CBB">
        <w:rPr>
          <w:rFonts w:ascii="Arial" w:eastAsia="Times New Roman" w:hAnsi="Arial" w:cs="Arial"/>
          <w:color w:val="000000" w:themeColor="text1"/>
        </w:rPr>
        <w:t xml:space="preserve">Experiencia en Implementación e Integración de Sistemas Transaccionales. Antecedentes en proyectos similares </w:t>
      </w:r>
      <w:r w:rsidR="004E1D9E" w:rsidRPr="4F970CBB">
        <w:rPr>
          <w:rFonts w:ascii="Arial" w:eastAsia="Times New Roman" w:hAnsi="Arial" w:cs="Arial"/>
          <w:color w:val="000000" w:themeColor="text1"/>
        </w:rPr>
        <w:lastRenderedPageBreak/>
        <w:t xml:space="preserve">que involucren la integración de múltiples módulos de sistemas financieros y administrativos complejos. Conocimiento en </w:t>
      </w:r>
      <w:proofErr w:type="gramStart"/>
      <w:r w:rsidR="004E1D9E" w:rsidRPr="4F970CBB">
        <w:rPr>
          <w:rFonts w:ascii="Arial" w:eastAsia="Times New Roman" w:hAnsi="Arial" w:cs="Arial"/>
          <w:color w:val="000000" w:themeColor="text1"/>
        </w:rPr>
        <w:t>Business Intelligence</w:t>
      </w:r>
      <w:proofErr w:type="gramEnd"/>
      <w:r w:rsidR="004E1D9E" w:rsidRPr="4F970CBB">
        <w:rPr>
          <w:rFonts w:ascii="Arial" w:eastAsia="Times New Roman" w:hAnsi="Arial" w:cs="Arial"/>
          <w:color w:val="000000" w:themeColor="text1"/>
        </w:rPr>
        <w:t xml:space="preserve"> (BI) y Pentaho. Experiencia en el diseño, desarrollo y despliegue de soluciones de BI utilizando la suite de herramientas preferentemente de Pentaho BI u otras. Dominio de Tecnologías y Bases de Datos. Experiencia en el manejo de bases de datos (por ejemplo, PostgreSQL, Oracle, SQL Server, entre otras) y en técnicas de normalización y optimización</w:t>
      </w:r>
      <w:r w:rsidR="00007E3C">
        <w:t xml:space="preserve">. </w:t>
      </w:r>
      <w:r w:rsidR="00007E3C" w:rsidRPr="4F970CBB">
        <w:rPr>
          <w:rFonts w:ascii="Arial" w:eastAsia="Times New Roman" w:hAnsi="Arial" w:cs="Arial"/>
          <w:color w:val="000000" w:themeColor="text1"/>
        </w:rPr>
        <w:t xml:space="preserve">Capacidades en Análisis y Modelado de Datos. Habilidades avanzadas en modelado de datos, incluyendo esquemas estrella o copo de nieve para cubos de información; Experiencia en la construcción de ETL (Extracción, Transformación y Carga) para migración y consolidación de datos. Capacidades de Transferencia de Conocimiento. Experiencia para capacitar y entrenar al personal gerencial, técnico y operativo en el uso de las herramientas BI y en el mantenimiento del sistema integrado. </w:t>
      </w:r>
      <w:r w:rsidR="002F0688" w:rsidRPr="4F970CBB">
        <w:rPr>
          <w:rFonts w:ascii="Arial" w:eastAsia="Times New Roman" w:hAnsi="Arial" w:cs="Arial"/>
          <w:color w:val="000000" w:themeColor="text1"/>
        </w:rPr>
        <w:t>Deberán incluir los siguientes tipos de antecedentes y documentación: </w:t>
      </w:r>
      <w:proofErr w:type="spellStart"/>
      <w:r w:rsidR="002F0688" w:rsidRPr="4F970CBB">
        <w:rPr>
          <w:rFonts w:ascii="Arial" w:eastAsia="Times New Roman" w:hAnsi="Arial" w:cs="Arial"/>
          <w:color w:val="000000" w:themeColor="text1"/>
        </w:rPr>
        <w:t>Curriculum</w:t>
      </w:r>
      <w:proofErr w:type="spellEnd"/>
      <w:r w:rsidR="002F0688" w:rsidRPr="4F970CBB">
        <w:rPr>
          <w:rFonts w:ascii="Arial" w:eastAsia="Times New Roman" w:hAnsi="Arial" w:cs="Arial"/>
          <w:color w:val="000000" w:themeColor="text1"/>
        </w:rPr>
        <w:t xml:space="preserve"> Vitae</w:t>
      </w:r>
      <w:r w:rsidR="00714487">
        <w:rPr>
          <w:rFonts w:ascii="Arial" w:eastAsia="Times New Roman" w:hAnsi="Arial" w:cs="Arial"/>
          <w:color w:val="000000" w:themeColor="text1"/>
        </w:rPr>
        <w:t xml:space="preserve"> del personal</w:t>
      </w:r>
      <w:r w:rsidR="00BE1B34">
        <w:rPr>
          <w:rFonts w:ascii="Arial" w:eastAsia="Times New Roman" w:hAnsi="Arial" w:cs="Arial"/>
          <w:color w:val="000000" w:themeColor="text1"/>
        </w:rPr>
        <w:t xml:space="preserve"> </w:t>
      </w:r>
      <w:r w:rsidR="002F0688" w:rsidRPr="4F970CBB">
        <w:rPr>
          <w:rFonts w:ascii="Arial" w:eastAsia="Times New Roman" w:hAnsi="Arial" w:cs="Arial"/>
          <w:color w:val="000000" w:themeColor="text1"/>
        </w:rPr>
        <w:t xml:space="preserve">detallando la experiencia relevante en proyectos similares, habilidades técnicas, certificaciones y formación académica. Cartas de Recomendación emitidas por clientes a la empresa o a los referentes de </w:t>
      </w:r>
      <w:proofErr w:type="gramStart"/>
      <w:r w:rsidR="002F0688" w:rsidRPr="4F970CBB">
        <w:rPr>
          <w:rFonts w:ascii="Arial" w:eastAsia="Times New Roman" w:hAnsi="Arial" w:cs="Arial"/>
          <w:color w:val="000000" w:themeColor="text1"/>
        </w:rPr>
        <w:t>la misma</w:t>
      </w:r>
      <w:proofErr w:type="gramEnd"/>
      <w:r w:rsidR="002F0688" w:rsidRPr="4F970CBB">
        <w:rPr>
          <w:rFonts w:ascii="Arial" w:eastAsia="Times New Roman" w:hAnsi="Arial" w:cs="Arial"/>
          <w:color w:val="000000" w:themeColor="text1"/>
        </w:rPr>
        <w:t>. Las cartas pueden ser de empleadores anteriores o profesionales de la industria que respalden la capacidad de la firma consultora para llevar a cabo el trabajo de manera efectiva. Portafolio de Proyectos: Ejemplos de trabajos previos relacionados con la consultoría en cuestión, incluyendo descripciones de proyectos, roles desempeñados y resultados obtenidos. </w:t>
      </w:r>
      <w:r w:rsidR="006A1A7A" w:rsidRPr="4F970CBB">
        <w:rPr>
          <w:rFonts w:ascii="Arial" w:hAnsi="Arial" w:cs="Arial"/>
        </w:rPr>
        <w:t>Duración de la consultoría:</w:t>
      </w:r>
      <w:r w:rsidR="006A1A7A" w:rsidRPr="4F970CBB">
        <w:rPr>
          <w:rFonts w:ascii="Arial" w:hAnsi="Arial" w:cs="Arial"/>
          <w:b/>
          <w:bCs/>
        </w:rPr>
        <w:t xml:space="preserve"> </w:t>
      </w:r>
      <w:r w:rsidR="006A1A7A" w:rsidRPr="4F970CBB">
        <w:rPr>
          <w:rFonts w:ascii="Arial" w:hAnsi="Arial" w:cs="Arial"/>
        </w:rPr>
        <w:t>Período propuesto de doce (12) meses. </w:t>
      </w:r>
      <w:r w:rsidR="003136DA" w:rsidRPr="4F970CBB">
        <w:rPr>
          <w:rFonts w:ascii="Arial" w:hAnsi="Arial" w:cs="Arial"/>
        </w:rPr>
        <w:t>La firma podrá presentar toda la documentación que crea necesaria para reforzar sus antecedentes.</w:t>
      </w:r>
      <w:r w:rsidR="00353112" w:rsidRPr="4F970CBB">
        <w:rPr>
          <w:rFonts w:ascii="Arial" w:hAnsi="Arial" w:cs="Arial"/>
        </w:rPr>
        <w:t xml:space="preserve"> El Programa responderá a todas las consultas que reciba por escrito, mediante correo electrónico a </w:t>
      </w:r>
      <w:hyperlink r:id="rId8">
        <w:r w:rsidR="00353112" w:rsidRPr="4F970CBB">
          <w:rPr>
            <w:rStyle w:val="Hipervnculo"/>
            <w:rFonts w:ascii="Arial" w:hAnsi="Arial" w:cs="Arial"/>
          </w:rPr>
          <w:t>adquisicionesprofip@mecon.gob.ar</w:t>
        </w:r>
      </w:hyperlink>
      <w:r w:rsidR="00353112" w:rsidRPr="4F970CBB">
        <w:rPr>
          <w:rFonts w:ascii="Arial" w:hAnsi="Arial" w:cs="Arial"/>
        </w:rPr>
        <w:t xml:space="preserve"> , y responderá a través de Circulares que serán remitidas por correo electrónico a más tardar 3 días antes del vencimiento del plazo para la presentación de las Expresiones de Interés.  Los procedimientos para la presentación electrónica de Expresiones de Interés son: 1. El asunto del correo electrónico deberá ser “</w:t>
      </w:r>
      <w:r w:rsidR="007E40CD" w:rsidRPr="4F970CBB">
        <w:rPr>
          <w:rFonts w:ascii="Arial" w:hAnsi="Arial" w:cs="Arial"/>
          <w:b/>
          <w:bCs/>
          <w:i/>
          <w:iCs/>
        </w:rPr>
        <w:t>Desarrollo de capacidades para análisis y procesamiento de información gerencial de la administración financiera de la provincia de Río Negro</w:t>
      </w:r>
      <w:r w:rsidR="00353112" w:rsidRPr="4F970CBB">
        <w:rPr>
          <w:rFonts w:ascii="Arial" w:hAnsi="Arial" w:cs="Arial"/>
        </w:rPr>
        <w:t xml:space="preserve">” PROFIP </w:t>
      </w:r>
      <w:r w:rsidR="00CA1125" w:rsidRPr="4F970CBB">
        <w:rPr>
          <w:rFonts w:ascii="Arial" w:hAnsi="Arial" w:cs="Arial"/>
        </w:rPr>
        <w:t>AR-L1292-P0000</w:t>
      </w:r>
      <w:r w:rsidR="007E40CD" w:rsidRPr="4F970CBB">
        <w:rPr>
          <w:rFonts w:ascii="Arial" w:hAnsi="Arial" w:cs="Arial"/>
        </w:rPr>
        <w:t>1</w:t>
      </w:r>
      <w:r w:rsidR="00353112" w:rsidRPr="4F970CBB">
        <w:rPr>
          <w:rFonts w:ascii="Arial" w:hAnsi="Arial" w:cs="Arial"/>
        </w:rPr>
        <w:t xml:space="preserve"> y nombre de la Firma Consultora. En el cuerpo del correo electrónico deberá consignar de forma clara:  nombre de la Firma Consultora, nombre de la persona de contacto, documento de identificación del representante, número de teléfono, y detalle de los archivos remitidos. Las Expresiones de Interés deberán ser remitidas en un solo archivo. El peso máximo de cada archivo será de 20 Megabytes. En el evento en que la información no pueda enviarse mediante un solo archivo, por superar el peso máximo mencionado, dividir el archivo en “libros”, identificándolos como Libro No. 01, Libro No. 02, etc. Los documentos enviados deberán ser legibles, ordenados y foliados. Cada documento deberá tener un índice. Los documentos deberán encontrarse firmados.  Las Expresiones de Interés deberán ser enviadas presentadas hasta el </w:t>
      </w:r>
      <w:proofErr w:type="gramStart"/>
      <w:r w:rsidR="00353112" w:rsidRPr="4F970CBB">
        <w:rPr>
          <w:rFonts w:ascii="Arial" w:hAnsi="Arial" w:cs="Arial"/>
        </w:rPr>
        <w:t xml:space="preserve">día </w:t>
      </w:r>
      <w:r w:rsidR="006A1A7A" w:rsidRPr="002A1574">
        <w:rPr>
          <w:rFonts w:ascii="Arial" w:hAnsi="Arial" w:cs="Arial"/>
        </w:rPr>
        <w:t>viernes</w:t>
      </w:r>
      <w:proofErr w:type="gramEnd"/>
      <w:r w:rsidR="006A1A7A" w:rsidRPr="002A1574">
        <w:rPr>
          <w:rFonts w:ascii="Arial" w:hAnsi="Arial" w:cs="Arial"/>
        </w:rPr>
        <w:t xml:space="preserve"> </w:t>
      </w:r>
      <w:r w:rsidR="002A1574" w:rsidRPr="002A1574">
        <w:rPr>
          <w:rFonts w:ascii="Arial" w:hAnsi="Arial" w:cs="Arial"/>
        </w:rPr>
        <w:t xml:space="preserve">20 </w:t>
      </w:r>
      <w:r w:rsidR="00353112" w:rsidRPr="002A1574">
        <w:rPr>
          <w:rFonts w:ascii="Arial" w:hAnsi="Arial" w:cs="Arial"/>
        </w:rPr>
        <w:t xml:space="preserve">de febrero de </w:t>
      </w:r>
      <w:r w:rsidR="00353112" w:rsidRPr="002A1574">
        <w:rPr>
          <w:rFonts w:ascii="Arial" w:hAnsi="Arial" w:cs="Arial"/>
        </w:rPr>
        <w:lastRenderedPageBreak/>
        <w:t>2026</w:t>
      </w:r>
      <w:r w:rsidR="006E44F9" w:rsidRPr="4F970CBB">
        <w:rPr>
          <w:rFonts w:ascii="Arial" w:hAnsi="Arial" w:cs="Arial"/>
        </w:rPr>
        <w:t xml:space="preserve"> </w:t>
      </w:r>
      <w:r w:rsidR="00353112" w:rsidRPr="4F970CBB">
        <w:rPr>
          <w:rFonts w:ascii="Arial" w:hAnsi="Arial" w:cs="Arial"/>
        </w:rPr>
        <w:t xml:space="preserve">a las 15:00 hora local al correo electrónico:  </w:t>
      </w:r>
      <w:hyperlink r:id="rId9">
        <w:r w:rsidR="00353112" w:rsidRPr="4F970CBB">
          <w:rPr>
            <w:rStyle w:val="Hipervnculo"/>
            <w:rFonts w:ascii="Arial" w:hAnsi="Arial" w:cs="Arial"/>
          </w:rPr>
          <w:t>adquisicionesprofip@mecon.gob.ar</w:t>
        </w:r>
      </w:hyperlink>
      <w:r w:rsidR="00353112" w:rsidRPr="4F970CBB">
        <w:rPr>
          <w:rFonts w:ascii="Arial" w:hAnsi="Arial" w:cs="Arial"/>
        </w:rPr>
        <w:t>  persona de contacto Ana Viale. El formato del archivo será PDF, salvo que la naturaleza del documento o los requisitos establecidos señalen algo distinto, en tal caso, el formato debe garantizar su visualización sin necesidad de la instalación de algún programa o aplicación. Se subraya que la hora de recepción de las Expresiones de Interés no será la del envío por parte del Proveedor, sino la hora de recibo por parte del Programa, la cual es aquella que registre el servidor de la entidad a través de su proveedor de correo electrónico, cuando ingrese el mensaje de correo electrónico a la bandeja de entrada.  </w:t>
      </w:r>
    </w:p>
    <w:sectPr w:rsidR="005316C5" w:rsidRPr="006E44F9">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variable"/>
  </w:font>
  <w:font w:name="Noto Sans Symbols">
    <w:altName w:val="Calibri"/>
    <w:charset w:val="01"/>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1" w:fontKey="{3B6C5D43-74FE-45B4-BF85-50755945099B}"/>
    <w:embedBold r:id="rId2" w:fontKey="{2CD2414E-7225-4A03-ABB2-6760BEE546D5}"/>
    <w:embedItalic r:id="rId3" w:fontKey="{F1AB63A4-AF94-4CD1-A62A-77171965C4E9}"/>
    <w:embedBoldItalic r:id="rId4" w:fontKey="{67335433-8973-4D77-971B-509BD197589B}"/>
  </w:font>
  <w:font w:name="Play">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5" w:fontKey="{6A800CC0-6636-4722-951C-79BE38D84B5C}"/>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D6261076-84F9-430A-BEDE-985A6732C7C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B1ABD"/>
    <w:multiLevelType w:val="multilevel"/>
    <w:tmpl w:val="032295B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3CB36E06"/>
    <w:multiLevelType w:val="multilevel"/>
    <w:tmpl w:val="6BD09786"/>
    <w:lvl w:ilvl="0">
      <w:start w:val="1"/>
      <w:numFmt w:val="bullet"/>
      <w:lvlText w:val="●"/>
      <w:lvlJc w:val="left"/>
      <w:pPr>
        <w:tabs>
          <w:tab w:val="num" w:pos="0"/>
        </w:tabs>
        <w:ind w:left="1440" w:hanging="360"/>
      </w:pPr>
      <w:rPr>
        <w:rFonts w:ascii="Noto Sans Symbols" w:hAnsi="Noto Sans Symbols" w:cs="Noto Sans Symbol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Noto Sans Symbols" w:hAnsi="Noto Sans Symbols" w:cs="Noto Sans Symbols" w:hint="default"/>
      </w:rPr>
    </w:lvl>
    <w:lvl w:ilvl="3">
      <w:start w:val="1"/>
      <w:numFmt w:val="bullet"/>
      <w:lvlText w:val="●"/>
      <w:lvlJc w:val="left"/>
      <w:pPr>
        <w:tabs>
          <w:tab w:val="num" w:pos="0"/>
        </w:tabs>
        <w:ind w:left="3600" w:hanging="360"/>
      </w:pPr>
      <w:rPr>
        <w:rFonts w:ascii="Noto Sans Symbols" w:hAnsi="Noto Sans Symbols" w:cs="Noto Sans Symbols"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Noto Sans Symbols" w:hAnsi="Noto Sans Symbols" w:cs="Noto Sans Symbols" w:hint="default"/>
      </w:rPr>
    </w:lvl>
    <w:lvl w:ilvl="6">
      <w:start w:val="1"/>
      <w:numFmt w:val="bullet"/>
      <w:lvlText w:val="●"/>
      <w:lvlJc w:val="left"/>
      <w:pPr>
        <w:tabs>
          <w:tab w:val="num" w:pos="0"/>
        </w:tabs>
        <w:ind w:left="5760" w:hanging="360"/>
      </w:pPr>
      <w:rPr>
        <w:rFonts w:ascii="Noto Sans Symbols" w:hAnsi="Noto Sans Symbols" w:cs="Noto Sans Symbols"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Noto Sans Symbols" w:hAnsi="Noto Sans Symbols" w:cs="Noto Sans Symbols" w:hint="default"/>
      </w:rPr>
    </w:lvl>
  </w:abstractNum>
  <w:num w:numId="1" w16cid:durableId="1332293958">
    <w:abstractNumId w:val="1"/>
  </w:num>
  <w:num w:numId="2" w16cid:durableId="1873107697">
    <w:abstractNumId w:val="0"/>
    <w:lvlOverride w:ilvl="0">
      <w:lvl w:ilvl="0">
        <w:start w:val="1"/>
        <w:numFmt w:val="bullet"/>
        <w:lvlText w:val=""/>
        <w:lvlJc w:val="left"/>
        <w:pPr>
          <w:tabs>
            <w:tab w:val="num" w:pos="720"/>
          </w:tabs>
          <w:ind w:left="720" w:hanging="283"/>
        </w:pPr>
        <w:rPr>
          <w:rFonts w:ascii="Symbol" w:hAnsi="Symbol" w:cs="Symbol" w:hint="default"/>
        </w:rPr>
      </w:lvl>
    </w:lvlOverride>
    <w:lvlOverride w:ilvl="1">
      <w:lvl w:ilvl="1">
        <w:start w:val="1"/>
        <w:numFmt w:val="decimal"/>
        <w:lvlText w:val="%2."/>
        <w:lvlJc w:val="left"/>
        <w:pPr>
          <w:tabs>
            <w:tab w:val="num" w:pos="1080"/>
          </w:tabs>
          <w:ind w:left="1080" w:hanging="360"/>
        </w:pPr>
        <w:rPr>
          <w:rFonts w:cs="OpenSymbol"/>
        </w:rPr>
      </w:lvl>
    </w:lvlOverride>
    <w:lvlOverride w:ilvl="2">
      <w:lvl w:ilvl="2">
        <w:start w:val="1"/>
        <w:numFmt w:val="decimal"/>
        <w:lvlText w:val="%3."/>
        <w:lvlJc w:val="left"/>
        <w:pPr>
          <w:tabs>
            <w:tab w:val="num" w:pos="1440"/>
          </w:tabs>
          <w:ind w:left="1440" w:hanging="360"/>
        </w:pPr>
        <w:rPr>
          <w:rFonts w:cs="OpenSymbol"/>
        </w:rPr>
      </w:lvl>
    </w:lvlOverride>
    <w:lvlOverride w:ilvl="3">
      <w:lvl w:ilvl="3">
        <w:start w:val="1"/>
        <w:numFmt w:val="decimal"/>
        <w:lvlText w:val="%4."/>
        <w:lvlJc w:val="left"/>
        <w:pPr>
          <w:tabs>
            <w:tab w:val="num" w:pos="1800"/>
          </w:tabs>
          <w:ind w:left="1800" w:hanging="360"/>
        </w:pPr>
        <w:rPr>
          <w:rFonts w:cs="Symbol"/>
        </w:rPr>
      </w:lvl>
    </w:lvlOverride>
    <w:lvlOverride w:ilvl="4">
      <w:lvl w:ilvl="4">
        <w:start w:val="1"/>
        <w:numFmt w:val="decimal"/>
        <w:lvlText w:val="%5."/>
        <w:lvlJc w:val="left"/>
        <w:pPr>
          <w:tabs>
            <w:tab w:val="num" w:pos="2160"/>
          </w:tabs>
          <w:ind w:left="2160" w:hanging="360"/>
        </w:pPr>
        <w:rPr>
          <w:rFonts w:cs="OpenSymbol"/>
        </w:rPr>
      </w:lvl>
    </w:lvlOverride>
    <w:lvlOverride w:ilvl="5">
      <w:lvl w:ilvl="5">
        <w:start w:val="1"/>
        <w:numFmt w:val="decimal"/>
        <w:lvlText w:val="%6."/>
        <w:lvlJc w:val="left"/>
        <w:pPr>
          <w:tabs>
            <w:tab w:val="num" w:pos="2520"/>
          </w:tabs>
          <w:ind w:left="2520" w:hanging="360"/>
        </w:pPr>
        <w:rPr>
          <w:rFonts w:cs="OpenSymbol"/>
        </w:rPr>
      </w:lvl>
    </w:lvlOverride>
    <w:lvlOverride w:ilvl="6">
      <w:lvl w:ilvl="6">
        <w:start w:val="1"/>
        <w:numFmt w:val="decimal"/>
        <w:lvlText w:val="%7."/>
        <w:lvlJc w:val="left"/>
        <w:pPr>
          <w:tabs>
            <w:tab w:val="num" w:pos="2880"/>
          </w:tabs>
          <w:ind w:left="2880" w:hanging="360"/>
        </w:pPr>
        <w:rPr>
          <w:rFonts w:cs="Symbol"/>
        </w:rPr>
      </w:lvl>
    </w:lvlOverride>
    <w:lvlOverride w:ilvl="7">
      <w:lvl w:ilvl="7">
        <w:start w:val="1"/>
        <w:numFmt w:val="decimal"/>
        <w:lvlText w:val="%8."/>
        <w:lvlJc w:val="left"/>
        <w:pPr>
          <w:tabs>
            <w:tab w:val="num" w:pos="3240"/>
          </w:tabs>
          <w:ind w:left="3240" w:hanging="360"/>
        </w:pPr>
        <w:rPr>
          <w:rFonts w:cs="OpenSymbol"/>
        </w:rPr>
      </w:lvl>
    </w:lvlOverride>
    <w:lvlOverride w:ilvl="8">
      <w:lvl w:ilvl="8">
        <w:start w:val="1"/>
        <w:numFmt w:val="decimal"/>
        <w:lvlText w:val="%9."/>
        <w:lvlJc w:val="left"/>
        <w:pPr>
          <w:tabs>
            <w:tab w:val="num" w:pos="3600"/>
          </w:tabs>
          <w:ind w:left="3600" w:hanging="360"/>
        </w:pPr>
        <w:rPr>
          <w:rFonts w:cs="OpenSymbol"/>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60D"/>
    <w:rsid w:val="00007E3C"/>
    <w:rsid w:val="000F60F9"/>
    <w:rsid w:val="0013460D"/>
    <w:rsid w:val="001E5CCC"/>
    <w:rsid w:val="00227A11"/>
    <w:rsid w:val="00245A25"/>
    <w:rsid w:val="002A1574"/>
    <w:rsid w:val="002F0688"/>
    <w:rsid w:val="003122F3"/>
    <w:rsid w:val="003136DA"/>
    <w:rsid w:val="00353112"/>
    <w:rsid w:val="003B5BFC"/>
    <w:rsid w:val="003F5EDE"/>
    <w:rsid w:val="004346AB"/>
    <w:rsid w:val="004E1D9E"/>
    <w:rsid w:val="005316C5"/>
    <w:rsid w:val="005F585A"/>
    <w:rsid w:val="00622D7E"/>
    <w:rsid w:val="00673673"/>
    <w:rsid w:val="006A1A7A"/>
    <w:rsid w:val="006E44F9"/>
    <w:rsid w:val="00714487"/>
    <w:rsid w:val="007E40CD"/>
    <w:rsid w:val="00807E6B"/>
    <w:rsid w:val="00815613"/>
    <w:rsid w:val="008B2B1F"/>
    <w:rsid w:val="00A24F7D"/>
    <w:rsid w:val="00A44C9D"/>
    <w:rsid w:val="00BE1B34"/>
    <w:rsid w:val="00C83313"/>
    <w:rsid w:val="00CA1125"/>
    <w:rsid w:val="00DB4A40"/>
    <w:rsid w:val="00E22CC2"/>
    <w:rsid w:val="00EA79D3"/>
    <w:rsid w:val="00F600AC"/>
    <w:rsid w:val="00F80D98"/>
    <w:rsid w:val="00FB50B0"/>
    <w:rsid w:val="00FF032B"/>
    <w:rsid w:val="3E20BB52"/>
    <w:rsid w:val="4F970CB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12B4B"/>
  <w15:docId w15:val="{F528A4E5-72C9-4D0F-9BFF-4FD819C3D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AR" w:eastAsia="es-A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paragraph" w:customStyle="1" w:styleId="LO-normal">
    <w:name w:val="LO-normal"/>
    <w:qFormat/>
    <w:rsid w:val="003136DA"/>
    <w:pPr>
      <w:suppressAutoHyphens/>
      <w:spacing w:line="259" w:lineRule="auto"/>
    </w:pPr>
    <w:rPr>
      <w:rFonts w:ascii="Calibri" w:eastAsia="Calibri" w:hAnsi="Calibri" w:cs="Calibri"/>
      <w:sz w:val="22"/>
      <w:szCs w:val="22"/>
      <w:lang w:eastAsia="zh-CN" w:bidi="hi-IN"/>
    </w:rPr>
  </w:style>
  <w:style w:type="paragraph" w:styleId="Prrafodelista">
    <w:name w:val="List Paragraph"/>
    <w:basedOn w:val="Normal"/>
    <w:qFormat/>
    <w:rsid w:val="003136DA"/>
    <w:pPr>
      <w:suppressAutoHyphens/>
      <w:spacing w:line="259" w:lineRule="auto"/>
      <w:ind w:left="720"/>
      <w:contextualSpacing/>
    </w:pPr>
    <w:rPr>
      <w:rFonts w:ascii="Calibri" w:eastAsia="Calibri" w:hAnsi="Calibri" w:cs="Mangal"/>
      <w:sz w:val="22"/>
      <w:szCs w:val="20"/>
      <w:lang w:eastAsia="zh-CN" w:bidi="hi-IN"/>
    </w:rPr>
  </w:style>
  <w:style w:type="character" w:styleId="Hipervnculo">
    <w:name w:val="Hyperlink"/>
    <w:basedOn w:val="Fuentedeprrafopredeter"/>
    <w:uiPriority w:val="99"/>
    <w:unhideWhenUsed/>
    <w:rsid w:val="00353112"/>
    <w:rPr>
      <w:color w:val="0000FF" w:themeColor="hyperlink"/>
      <w:u w:val="single"/>
    </w:rPr>
  </w:style>
  <w:style w:type="character" w:styleId="Refdecomentario">
    <w:name w:val="annotation reference"/>
    <w:basedOn w:val="Fuentedeprrafopredeter"/>
    <w:uiPriority w:val="99"/>
    <w:semiHidden/>
    <w:unhideWhenUsed/>
    <w:rsid w:val="006A1A7A"/>
    <w:rPr>
      <w:sz w:val="16"/>
      <w:szCs w:val="16"/>
    </w:rPr>
  </w:style>
  <w:style w:type="paragraph" w:styleId="Textocomentario">
    <w:name w:val="annotation text"/>
    <w:basedOn w:val="Normal"/>
    <w:link w:val="TextocomentarioCar"/>
    <w:uiPriority w:val="99"/>
    <w:unhideWhenUsed/>
    <w:rsid w:val="006A1A7A"/>
    <w:pPr>
      <w:spacing w:line="240" w:lineRule="auto"/>
    </w:pPr>
    <w:rPr>
      <w:sz w:val="20"/>
      <w:szCs w:val="20"/>
    </w:rPr>
  </w:style>
  <w:style w:type="character" w:customStyle="1" w:styleId="TextocomentarioCar">
    <w:name w:val="Texto comentario Car"/>
    <w:basedOn w:val="Fuentedeprrafopredeter"/>
    <w:link w:val="Textocomentario"/>
    <w:uiPriority w:val="99"/>
    <w:rsid w:val="006A1A7A"/>
    <w:rPr>
      <w:sz w:val="20"/>
      <w:szCs w:val="20"/>
    </w:rPr>
  </w:style>
  <w:style w:type="paragraph" w:styleId="Asuntodelcomentario">
    <w:name w:val="annotation subject"/>
    <w:basedOn w:val="Textocomentario"/>
    <w:next w:val="Textocomentario"/>
    <w:link w:val="AsuntodelcomentarioCar"/>
    <w:uiPriority w:val="99"/>
    <w:semiHidden/>
    <w:unhideWhenUsed/>
    <w:rsid w:val="006A1A7A"/>
    <w:rPr>
      <w:b/>
      <w:bCs/>
    </w:rPr>
  </w:style>
  <w:style w:type="character" w:customStyle="1" w:styleId="AsuntodelcomentarioCar">
    <w:name w:val="Asunto del comentario Car"/>
    <w:basedOn w:val="TextocomentarioCar"/>
    <w:link w:val="Asuntodelcomentario"/>
    <w:uiPriority w:val="99"/>
    <w:semiHidden/>
    <w:rsid w:val="006A1A7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profip@mecon.gob.ar"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quisicionesprofip@mecon.gob.a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9a36ac-445f-4882-8e2d-5c06cd72f453" xsi:nil="true"/>
    <lcf76f155ced4ddcb4097134ff3c332f xmlns="d9556798-63d1-4edd-8b07-95a2490432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80F6EF9E8F7774185BCF07857031173" ma:contentTypeVersion="14" ma:contentTypeDescription="Crear nuevo documento." ma:contentTypeScope="" ma:versionID="1d768270e94f326ed99c7f99f28eae68">
  <xsd:schema xmlns:xsd="http://www.w3.org/2001/XMLSchema" xmlns:xs="http://www.w3.org/2001/XMLSchema" xmlns:p="http://schemas.microsoft.com/office/2006/metadata/properties" xmlns:ns2="f89a36ac-445f-4882-8e2d-5c06cd72f453" xmlns:ns3="d9556798-63d1-4edd-8b07-95a24904321f" targetNamespace="http://schemas.microsoft.com/office/2006/metadata/properties" ma:root="true" ma:fieldsID="ed814a7ecb2149aaaa03f870cac844bb" ns2:_="" ns3:_="">
    <xsd:import namespace="f89a36ac-445f-4882-8e2d-5c06cd72f453"/>
    <xsd:import namespace="d9556798-63d1-4edd-8b07-95a2490432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a36ac-445f-4882-8e2d-5c06cd72f45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531f6424-637a-46c1-b32b-10c2e749333c}" ma:internalName="TaxCatchAll" ma:showField="CatchAllData" ma:web="f89a36ac-445f-4882-8e2d-5c06cd72f4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9556798-63d1-4edd-8b07-95a2490432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7aa6ad0a-2fb5-41cb-89da-8c05c295d9c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86C856-54FD-4B1B-9548-674C9AD88961}">
  <ds:schemaRefs>
    <ds:schemaRef ds:uri="http://schemas.microsoft.com/office/2006/metadata/properties"/>
    <ds:schemaRef ds:uri="http://schemas.microsoft.com/office/infopath/2007/PartnerControls"/>
    <ds:schemaRef ds:uri="f89a36ac-445f-4882-8e2d-5c06cd72f453"/>
    <ds:schemaRef ds:uri="d9556798-63d1-4edd-8b07-95a24904321f"/>
  </ds:schemaRefs>
</ds:datastoreItem>
</file>

<file path=customXml/itemProps2.xml><?xml version="1.0" encoding="utf-8"?>
<ds:datastoreItem xmlns:ds="http://schemas.openxmlformats.org/officeDocument/2006/customXml" ds:itemID="{78A8A45B-7C97-42CC-8FEE-F14C7ED8F6F7}">
  <ds:schemaRefs>
    <ds:schemaRef ds:uri="http://schemas.microsoft.com/sharepoint/v3/contenttype/forms"/>
  </ds:schemaRefs>
</ds:datastoreItem>
</file>

<file path=customXml/itemProps3.xml><?xml version="1.0" encoding="utf-8"?>
<ds:datastoreItem xmlns:ds="http://schemas.openxmlformats.org/officeDocument/2006/customXml" ds:itemID="{4E4D04D6-2E4C-45E4-9C21-B2CDE8822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a36ac-445f-4882-8e2d-5c06cd72f453"/>
    <ds:schemaRef ds:uri="d9556798-63d1-4edd-8b07-95a249043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3</Pages>
  <Words>1098</Words>
  <Characters>6044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Viale</dc:creator>
  <cp:lastModifiedBy>Sol Carolina Arroyo</cp:lastModifiedBy>
  <cp:revision>10</cp:revision>
  <dcterms:created xsi:type="dcterms:W3CDTF">2026-02-05T11:10:00Z</dcterms:created>
  <dcterms:modified xsi:type="dcterms:W3CDTF">2026-02-05T16:49:00Z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0x010100780F6EF9E8F7774185BCF07857031173</vt:lpwstr>
  </property>
  <property fmtid="{D5CDD505-2E9C-101B-9397-08002B2CF9AE}" pid="3" name="MediaServiceImageTags">
    <vt:lpwstr/>
  </property>
</Properties>
</file>